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A1C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D72A1C" w:rsidRDefault="00000000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:rsidR="00D72A1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D72A1C" w:rsidRDefault="00000000">
      <w:pPr>
        <w:spacing w:line="360" w:lineRule="auto"/>
        <w:ind w:firstLineChars="200" w:firstLine="480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proofErr w:type="gramStart"/>
      <w:r>
        <w:rPr>
          <w:rFonts w:ascii="宋体" w:hAnsi="宋体" w:hint="eastAsia"/>
          <w:sz w:val="24"/>
          <w:szCs w:val="24"/>
        </w:rPr>
        <w:t>贵校</w:t>
      </w:r>
      <w:r>
        <w:rPr>
          <w:rFonts w:ascii="宋体" w:hAnsi="宋体" w:hint="eastAsia"/>
          <w:sz w:val="24"/>
          <w:szCs w:val="24"/>
          <w:u w:val="single"/>
        </w:rPr>
        <w:t>东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校区加装路灯、更换水泵等工程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:rsidR="00D72A1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:rsidR="00D72A1C" w:rsidRDefault="00000000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D72A1C" w:rsidRDefault="00000000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:rsidR="00D72A1C" w:rsidRDefault="00000000">
      <w:pPr>
        <w:numPr>
          <w:ilvl w:val="0"/>
          <w:numId w:val="1"/>
        </w:numPr>
        <w:spacing w:line="360" w:lineRule="auto"/>
        <w:rPr>
          <w:rFonts w:eastAsia="仿宋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:rsidR="00D72A1C" w:rsidRDefault="0000000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W w:w="8940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667"/>
        <w:gridCol w:w="1203"/>
        <w:gridCol w:w="3884"/>
        <w:gridCol w:w="714"/>
        <w:gridCol w:w="936"/>
        <w:gridCol w:w="660"/>
        <w:gridCol w:w="876"/>
      </w:tblGrid>
      <w:tr w:rsidR="00D72A1C">
        <w:trPr>
          <w:cantSplit/>
          <w:trHeight w:val="5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工程内容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:rsidR="00D72A1C">
        <w:trPr>
          <w:cantSplit/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教学楼2-6层卫生间更换加长不锈钢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（铜芯）水龙头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1、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卫生间所有水龙头更换加长不锈钢（铜芯）水龙头；</w:t>
            </w:r>
          </w:p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2、须提供样品给甲方确认；</w:t>
            </w:r>
          </w:p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3、自行勘察现场，满足使用需求；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D72A1C">
        <w:trPr>
          <w:cantSplit/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教学楼2-6层卫生间上下水管道维修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1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、卫生间所有上、下水管更换固定卡件；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2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、卫生间上、下水管道损坏或漏水需更换维修；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3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980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教学楼2-6层卫生间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不锈钢水池制作安装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1、不锈钢水池型材厚度1.2mm；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2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、制作不锈钢水池大小与原水池尺寸基本一样，</w:t>
            </w:r>
            <w:r>
              <w:rPr>
                <w:rStyle w:val="font11"/>
                <w:sz w:val="18"/>
                <w:szCs w:val="18"/>
                <w:lang w:bidi="ar"/>
              </w:rPr>
              <w:t>每层共3个水池，其中两个为L型，一个为一字型，L型长度为：1.65m+1.85m；</w:t>
            </w:r>
            <w:proofErr w:type="gramStart"/>
            <w:r>
              <w:rPr>
                <w:rStyle w:val="font11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Style w:val="font11"/>
                <w:sz w:val="18"/>
                <w:szCs w:val="18"/>
                <w:lang w:bidi="ar"/>
              </w:rPr>
              <w:t>字型长度为3.5m，宽度为0.43-0.45m,高度为0.85m-0.9m,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共计</w:t>
            </w:r>
            <w:r>
              <w:rPr>
                <w:rStyle w:val="font11"/>
                <w:sz w:val="18"/>
                <w:szCs w:val="18"/>
                <w:lang w:bidi="ar"/>
              </w:rPr>
              <w:t>15套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不锈钢水池，其中</w:t>
            </w:r>
            <w:r>
              <w:rPr>
                <w:rStyle w:val="font11"/>
                <w:sz w:val="18"/>
                <w:szCs w:val="18"/>
                <w:lang w:bidi="ar"/>
              </w:rPr>
              <w:t>L型水池可做成两个独立水池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3、含下水等配件，其中下水管为金属波纹管，需连接至下水口至下水管，每个水池均有独立下水口；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4、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962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教学楼2-6层卫生间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不锈钢水池侧端不锈钢包水管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numPr>
                <w:ilvl w:val="0"/>
                <w:numId w:val="2"/>
              </w:numPr>
              <w:spacing w:line="240" w:lineRule="exact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原水管外包木工板拆除；</w:t>
            </w:r>
          </w:p>
          <w:p w:rsidR="00D72A1C" w:rsidRDefault="00000000">
            <w:pPr>
              <w:widowControl/>
              <w:numPr>
                <w:ilvl w:val="0"/>
                <w:numId w:val="2"/>
              </w:numPr>
              <w:spacing w:line="240" w:lineRule="exact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不锈钢制作包裹水管；</w:t>
            </w:r>
          </w:p>
          <w:p w:rsidR="00D72A1C" w:rsidRDefault="00000000">
            <w:pPr>
              <w:widowControl/>
              <w:numPr>
                <w:ilvl w:val="0"/>
                <w:numId w:val="2"/>
              </w:numPr>
              <w:spacing w:line="240" w:lineRule="exact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高度不小于</w:t>
            </w:r>
            <w:r>
              <w:rPr>
                <w:rFonts w:hint="eastAsia"/>
                <w:sz w:val="18"/>
                <w:szCs w:val="18"/>
              </w:rPr>
              <w:t>2.2m;</w:t>
            </w:r>
          </w:p>
          <w:p w:rsidR="00D72A1C" w:rsidRDefault="00000000">
            <w:pPr>
              <w:pStyle w:val="a0"/>
              <w:widowControl/>
              <w:spacing w:line="240" w:lineRule="exact"/>
              <w:rPr>
                <w:sz w:val="18"/>
                <w:szCs w:val="18"/>
                <w:lang w:val="en-US"/>
              </w:rPr>
            </w:pPr>
            <w:r>
              <w:rPr>
                <w:rStyle w:val="font11"/>
                <w:sz w:val="18"/>
                <w:szCs w:val="18"/>
                <w:lang w:val="en-US" w:bidi="ar"/>
              </w:rPr>
              <w:t>4、</w:t>
            </w:r>
            <w:r>
              <w:rPr>
                <w:rStyle w:val="font11"/>
                <w:rFonts w:hint="default"/>
                <w:sz w:val="18"/>
                <w:szCs w:val="18"/>
                <w:lang w:val="en-US" w:bidi="ar"/>
              </w:rPr>
              <w:t>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val="en-US"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val="en-US"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val="en-US"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val="en-US"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7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卫生间布帘制作安装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numPr>
                <w:ilvl w:val="0"/>
                <w:numId w:val="3"/>
              </w:numPr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卫生间布帘颜色须经校方认可后施工；</w:t>
            </w:r>
          </w:p>
          <w:p w:rsidR="00D72A1C" w:rsidRDefault="00000000">
            <w:pPr>
              <w:widowControl/>
              <w:numPr>
                <w:ilvl w:val="0"/>
                <w:numId w:val="3"/>
              </w:numPr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单扇窗帘尺寸为</w:t>
            </w:r>
            <w:r>
              <w:rPr>
                <w:rStyle w:val="font11"/>
                <w:sz w:val="18"/>
                <w:szCs w:val="18"/>
                <w:lang w:bidi="ar"/>
              </w:rPr>
              <w:t>1㎡，共计10间；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3、施工难度及工程量等自行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教学楼2-6层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卫生间原卫生间石材水池拆除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1、拆除原卫生间石材水池；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2、原水池底部石材损坏等修复；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3、垃圾清运至校外；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pStyle w:val="a0"/>
              <w:widowControl/>
              <w:spacing w:line="240" w:lineRule="exact"/>
              <w:rPr>
                <w:sz w:val="18"/>
                <w:szCs w:val="18"/>
                <w:lang w:val="en-US"/>
              </w:rPr>
            </w:pPr>
          </w:p>
        </w:tc>
      </w:tr>
      <w:tr w:rsidR="00D72A1C">
        <w:trPr>
          <w:cantSplit/>
          <w:trHeight w:val="15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教学楼（1至6层）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与辅楼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（1至3层）电缆电线支架制作安装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1、所有楼内、楼外电缆电线或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弱电线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等均整理捆绑整齐，固定在镀锌或烤漆铁三角支架上；</w:t>
            </w:r>
          </w:p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2、支架规格：室外支架臂长</w:t>
            </w:r>
            <w:r>
              <w:rPr>
                <w:rStyle w:val="font11"/>
                <w:sz w:val="18"/>
                <w:szCs w:val="18"/>
                <w:lang w:bidi="ar"/>
              </w:rPr>
              <w:t>20公分，间距2-3m;室内支架臂长15公分，间距2-3m;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根据现场实际情况制订方案，须校方认可后施工；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3、施工脚手架自行考虑；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阶梯教室后面职工之家（1至2层）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电热水器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jc w:val="lef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1、一楼淋浴间及卫生间上、下水不通，根据现场实际情况改造通畅；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2、增加智能筒式电热水器一台带漏电保护（60升容量），包括辅材花洒等安装到位（品牌：海尔、美的、阿里斯顿）；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3、淋浴间及卫生间所有水、电配件按现场实际需求增补、更换；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20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阶梯教室后面职工之家（1至2层）零星维修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1、所有电源插座及电线检修，如损坏需更换；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2、防盗门锁维修更换（4个）；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3、制作遮光窗帘（4个），窗户尺寸：</w:t>
            </w:r>
            <w:r>
              <w:rPr>
                <w:rStyle w:val="font11"/>
                <w:sz w:val="18"/>
                <w:szCs w:val="18"/>
                <w:lang w:bidi="ar"/>
              </w:rPr>
              <w:t>1.5m*1.2m两扇；2.2m*1.6m两扇，褶皱系数1.5，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颜色样式及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材质须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校方认可后方可施工；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4、楼梯原有踏板维修加固；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5、施工难度及工程量等自行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6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景观路灯安装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1、景观灯的样式与校本部3栋南侧快递场地景观路灯一致，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高度3米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2、教学楼南边院子安装6套；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3、大礼堂对面安装4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4、学生宿舍楼北边安装5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5、施工难度及工程量等自行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盏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30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景观路灯安装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1、开挖路面后恢复原样；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2、电缆线直径4平方铜芯国标线（推荐品牌：绿宝、铜陵长江、上上）约300米（单独穿线管）；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3、定时器、P30不锈钢防雨配电箱、空开及漏电保护（推荐品牌：正泰、人民、德力西）；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4、单独从主电箱拉接电源线，时控开关、电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箱数量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及施工方案须经校方认可后施工；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5、施工难度及工程量等自行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26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户外挑臂防水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LED路灯安装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1、教学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楼与辅楼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之间三楼走廊东西两边墙上各安装一盏；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2、食堂南边二楼墙上安装二盏；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3、食堂西边大门二楼墙上安装二盏；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4、学生宿舍楼南边三楼墙上安装二盏；</w:t>
            </w:r>
          </w:p>
          <w:p w:rsidR="00D72A1C" w:rsidRDefault="00000000">
            <w:pPr>
              <w:pStyle w:val="a0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ar"/>
              </w:rPr>
              <w:t>5、推品牌：亚明、飞利浦、欧普；</w:t>
            </w:r>
          </w:p>
          <w:p w:rsidR="00D72A1C" w:rsidRDefault="00000000">
            <w:pPr>
              <w:pStyle w:val="a0"/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ar"/>
              </w:rPr>
              <w:t>6、臂长1米弯杆；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7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、具体安装位置须经校方认可后施工；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8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、安装灯具脚手架等费用自行考虑；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9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8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户外挑臂防水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LED路灯电线线缆安装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1、电缆线直径4平方（铜芯绿宝）约120米（单独穿线管），从主电箱单独拉接电源；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2、时控开关、P30不锈钢防雨配电箱、空开及漏电保护（正泰）；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3、时控开关及电箱数量，根据现场实际情况制定方案，须经校方认可后施工；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地面垃圾清理整平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1、学生宿舍楼东边及食堂东边围墙地面硬化约240平方；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2、垃圾清理外运及地面下挖25厘米，土方外运，场地整平、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素土夯实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，夯实系数≥</w:t>
            </w:r>
            <w:r>
              <w:rPr>
                <w:rStyle w:val="font11"/>
                <w:sz w:val="18"/>
                <w:szCs w:val="18"/>
                <w:lang w:bidi="ar"/>
              </w:rPr>
              <w:t>95%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3、碎石垫层10厘米夯实；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6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地面C25混凝土场地硬化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A1C" w:rsidRDefault="00000000">
            <w:pPr>
              <w:widowControl/>
              <w:spacing w:line="240" w:lineRule="exact"/>
              <w:textAlignment w:val="top"/>
              <w:rPr>
                <w:rStyle w:val="font11"/>
                <w:rFonts w:hint="default"/>
                <w:sz w:val="18"/>
                <w:szCs w:val="18"/>
                <w:lang w:bidi="ar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1、C25混凝土商拌混凝土浇筑，厚度15cm，按规范振捣、养护;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2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、施工时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地面返水及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流向方案，经校方认可后施工；</w:t>
            </w:r>
          </w:p>
          <w:p w:rsidR="00D72A1C" w:rsidRDefault="00000000">
            <w:pPr>
              <w:widowControl/>
              <w:spacing w:line="240" w:lineRule="exac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sz w:val="18"/>
                <w:szCs w:val="18"/>
                <w:lang w:bidi="ar"/>
              </w:rPr>
              <w:t>3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、各种机械费用及人工费用自行考虑；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</w:r>
            <w:r>
              <w:rPr>
                <w:rStyle w:val="font11"/>
                <w:sz w:val="18"/>
                <w:szCs w:val="18"/>
                <w:lang w:bidi="ar"/>
              </w:rPr>
              <w:t>4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66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供水泵不锈钢管件及附件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1、DN100*80进出水合流管；每台泵的进出水口闸阀、出水口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水阀；24升稳压罐及不锈钢底座；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2、管件底座均采用不锈钢材质，以避免锈蚀，严防渗漏、污染，延长使用寿命和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降低维保成本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3、施工难度及工程量等自行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20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供水泵变频控制柜安装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numPr>
                <w:ilvl w:val="0"/>
                <w:numId w:val="4"/>
              </w:numPr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变频控制柜型号XL一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21一386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S落地式，功率为：11KW；</w:t>
            </w:r>
          </w:p>
          <w:p w:rsidR="00D72A1C" w:rsidRDefault="00000000">
            <w:pPr>
              <w:widowControl/>
              <w:numPr>
                <w:ilvl w:val="0"/>
                <w:numId w:val="4"/>
              </w:numPr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原供水泵进水管为φ80单管，根据实际需求，为保障进水量，现将两根单管中φ80及φ65合并串联为一根直径100进水管水泵；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3、变频控制柜电源线从教学楼配电柜单独引4*6+1铜芯电缆（推荐品牌：绿宝、铜陵长江、上上）；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4、施工难度及工程量等自行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供水泵（一用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备）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西木泵业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号：CDL45-3）或新界泵业（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号：BLT45-3）或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泉泵业（货号：CDL45-3）；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功率11kw,额定流量45立方米，额定扬程58米，进出水口径DN80；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2、水泵为不锈钢多级离心泵，出水压力可通过变频控制柜在水泵出水最大范围内调整。推荐品牌：新界、西木、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孜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泉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3、施工难度及工程量等自行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20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供水泵变频控制器及元件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1、</w:t>
            </w:r>
            <w:r>
              <w:rPr>
                <w:rStyle w:val="font11"/>
                <w:sz w:val="18"/>
                <w:szCs w:val="18"/>
                <w:lang w:bidi="ar"/>
              </w:rPr>
              <w:t>恒压供水专用变频器型号为JT386S3-BC0150G3，含柜内所有元器件及压力变送器等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2、变频器一控二，当一台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泵不能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满足末端用水时，自动启动另一台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泵保障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恒压供水；</w:t>
            </w:r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br/>
              <w:t>3、施工难度及工程量等自行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现场，如果实际工程量超出清单</w:t>
            </w:r>
            <w:proofErr w:type="gramStart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量金额</w:t>
            </w:r>
            <w:proofErr w:type="gramEnd"/>
            <w:r>
              <w:rPr>
                <w:rStyle w:val="font11"/>
                <w:rFonts w:hint="default"/>
                <w:sz w:val="18"/>
                <w:szCs w:val="18"/>
                <w:lang w:bidi="ar"/>
              </w:rPr>
              <w:t>不予调整；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124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宿舍楼1楼走廊灯声控改为开关控制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1、宿舍楼1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楼宿管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间门前声控灯改为开关控制的灯，共两处；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2、施工难度及工程量等自行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堪察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现场;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41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垃圾清运与现场保洁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开荒保洁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2A1C">
        <w:trPr>
          <w:cantSplit/>
          <w:trHeight w:val="49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合计含税金额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A1C" w:rsidRDefault="00D72A1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72A1C" w:rsidRDefault="00000000">
      <w:pPr>
        <w:pStyle w:val="a0"/>
        <w:rPr>
          <w:rFonts w:ascii="Times New Roman" w:eastAsia="宋体" w:hAnsi="Times New Roman" w:cs="Times New Roman"/>
          <w:sz w:val="21"/>
          <w:szCs w:val="21"/>
          <w:lang w:val="en-US" w:bidi="ar-SA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备注：1、以上报价均为含税、费价，表格中所列工程内容不明之处，请自行勘察现场，报价人签字或印章处，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需手签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t>或加盖姓名章，否则报价无效。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  <w:lang w:val="en-US" w:bidi="ar"/>
        </w:rPr>
        <w:br/>
        <w:t>2、上述报价单中未尽事宜，请在报价中综合考虑，一经报价，上述所有工程内容需满足甲方需求，保证各项设备设施正常使用。</w:t>
      </w:r>
    </w:p>
    <w:p w:rsidR="00D72A1C" w:rsidRDefault="00D72A1C">
      <w:pPr>
        <w:pStyle w:val="a0"/>
      </w:pPr>
    </w:p>
    <w:p w:rsidR="00D72A1C" w:rsidRDefault="00D72A1C"/>
    <w:p w:rsidR="00D72A1C" w:rsidRDefault="00D72A1C">
      <w:pPr>
        <w:ind w:left="630" w:hangingChars="300" w:hanging="630"/>
        <w:rPr>
          <w:rFonts w:ascii="宋体" w:hAnsi="宋体"/>
          <w:szCs w:val="21"/>
        </w:rPr>
      </w:pPr>
    </w:p>
    <w:p w:rsidR="00D72A1C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:rsidR="00D72A1C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D72A1C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公司名称：（公司盖章）         </w:t>
      </w:r>
    </w:p>
    <w:p w:rsidR="00D72A1C" w:rsidRDefault="00000000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年   月   日          </w:t>
      </w:r>
    </w:p>
    <w:sectPr w:rsidR="00D72A1C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3CD" w:rsidRDefault="007613CD">
      <w:r>
        <w:separator/>
      </w:r>
    </w:p>
  </w:endnote>
  <w:endnote w:type="continuationSeparator" w:id="0">
    <w:p w:rsidR="007613CD" w:rsidRDefault="0076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A1C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D72A1C" w:rsidRDefault="00D72A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A1C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D72A1C" w:rsidRDefault="00D72A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3CD" w:rsidRDefault="007613CD">
      <w:r>
        <w:separator/>
      </w:r>
    </w:p>
  </w:footnote>
  <w:footnote w:type="continuationSeparator" w:id="0">
    <w:p w:rsidR="007613CD" w:rsidRDefault="0076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D16F12"/>
    <w:multiLevelType w:val="singleLevel"/>
    <w:tmpl w:val="D0D16F1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DA9CF62"/>
    <w:multiLevelType w:val="singleLevel"/>
    <w:tmpl w:val="DDA9CF6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2EA1C30"/>
    <w:multiLevelType w:val="singleLevel"/>
    <w:tmpl w:val="32EA1C3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 w16cid:durableId="2059930565">
    <w:abstractNumId w:val="3"/>
  </w:num>
  <w:num w:numId="2" w16cid:durableId="777992618">
    <w:abstractNumId w:val="2"/>
  </w:num>
  <w:num w:numId="3" w16cid:durableId="1648584701">
    <w:abstractNumId w:val="0"/>
  </w:num>
  <w:num w:numId="4" w16cid:durableId="107134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A1D1D"/>
    <w:rsid w:val="003B3709"/>
    <w:rsid w:val="00421911"/>
    <w:rsid w:val="00582E12"/>
    <w:rsid w:val="005B37C9"/>
    <w:rsid w:val="006160F5"/>
    <w:rsid w:val="006D3077"/>
    <w:rsid w:val="007613CD"/>
    <w:rsid w:val="007C0A67"/>
    <w:rsid w:val="008D4B98"/>
    <w:rsid w:val="008E7523"/>
    <w:rsid w:val="00A73EA4"/>
    <w:rsid w:val="00BF2FA8"/>
    <w:rsid w:val="00C012C7"/>
    <w:rsid w:val="00CB35C7"/>
    <w:rsid w:val="00D72A1C"/>
    <w:rsid w:val="00F0349E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68D732C"/>
    <w:rsid w:val="176364AC"/>
    <w:rsid w:val="188C502F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A96BAE"/>
    <w:rsid w:val="3E7D26DB"/>
    <w:rsid w:val="3E9B18D1"/>
    <w:rsid w:val="3FB63604"/>
    <w:rsid w:val="41571836"/>
    <w:rsid w:val="45F51049"/>
    <w:rsid w:val="49D61BFB"/>
    <w:rsid w:val="49DE36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261CF9"/>
    <w:rsid w:val="5F7B4B19"/>
    <w:rsid w:val="627C7A99"/>
    <w:rsid w:val="62AC6625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E0547-7151-403A-9621-64D06E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2022-08-19T05:39:00Z</cp:lastPrinted>
  <dcterms:created xsi:type="dcterms:W3CDTF">2022-09-23T11:45:00Z</dcterms:created>
  <dcterms:modified xsi:type="dcterms:W3CDTF">2022-09-23T11:45:00Z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5F7C0CAC555544F1B4832121521A54E6</vt:lpwstr>
  </property>
</Properties>
</file>